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66" w:rsidRDefault="00193EF7">
      <w:pPr>
        <w:pStyle w:val="2"/>
        <w:rPr>
          <w:rFonts w:eastAsia="Times New Roman"/>
        </w:rPr>
      </w:pPr>
      <w:bookmarkStart w:id="0" w:name="_GoBack"/>
      <w:bookmarkEnd w:id="0"/>
      <w:r>
        <w:rPr>
          <w:rFonts w:eastAsia="Times New Roman"/>
        </w:rPr>
        <w:t>Информация Минтруда России от 4 марта 2013 г.</w:t>
      </w:r>
    </w:p>
    <w:p w:rsidR="00363266" w:rsidRDefault="00193EF7">
      <w:pPr>
        <w:pStyle w:val="1"/>
        <w:rPr>
          <w:rFonts w:eastAsia="Times New Roman"/>
        </w:rPr>
      </w:pPr>
      <w:r>
        <w:rPr>
          <w:rFonts w:eastAsia="Times New Roman"/>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363266" w:rsidRDefault="00193EF7">
      <w:pPr>
        <w:pStyle w:val="a3"/>
        <w:divId w:val="1481071499"/>
      </w:pPr>
      <w:r>
        <w:rPr>
          <w:b/>
          <w:bCs/>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363266" w:rsidRDefault="00193EF7">
      <w:pPr>
        <w:pStyle w:val="a3"/>
        <w:divId w:val="1481071499"/>
      </w:pPr>
      <w: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363266" w:rsidRDefault="00193EF7">
      <w:pPr>
        <w:pStyle w:val="a3"/>
        <w:divId w:val="1481071499"/>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363266" w:rsidRDefault="00193EF7">
      <w:pPr>
        <w:pStyle w:val="a3"/>
        <w:divId w:val="1481071499"/>
      </w:pPr>
      <w: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363266" w:rsidRDefault="00193EF7">
      <w:pPr>
        <w:pStyle w:val="a3"/>
        <w:divId w:val="1481071499"/>
      </w:pPr>
      <w: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363266" w:rsidRDefault="00193EF7">
      <w:pPr>
        <w:pStyle w:val="a3"/>
        <w:divId w:val="1481071499"/>
      </w:pPr>
      <w:r>
        <w:lastRenderedPageBreak/>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363266" w:rsidRDefault="00193EF7">
      <w:pPr>
        <w:pStyle w:val="a3"/>
        <w:divId w:val="1481071499"/>
      </w:pPr>
      <w: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363266" w:rsidRDefault="00193EF7">
      <w:pPr>
        <w:pStyle w:val="a3"/>
        <w:divId w:val="1481071499"/>
      </w:pPr>
      <w: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363266" w:rsidRDefault="00193EF7">
      <w:pPr>
        <w:pStyle w:val="a3"/>
        <w:divId w:val="1481071499"/>
      </w:pPr>
      <w: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363266" w:rsidRDefault="00193EF7">
      <w:pPr>
        <w:pStyle w:val="a3"/>
        <w:divId w:val="1481071499"/>
      </w:pPr>
      <w: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363266" w:rsidRDefault="00193EF7">
      <w:pPr>
        <w:pStyle w:val="a3"/>
        <w:divId w:val="1481071499"/>
      </w:pPr>
      <w: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363266" w:rsidRDefault="00193EF7">
      <w:pPr>
        <w:pStyle w:val="a3"/>
        <w:divId w:val="1481071499"/>
      </w:pPr>
      <w: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363266" w:rsidRDefault="00193EF7">
      <w:pPr>
        <w:pStyle w:val="a3"/>
        <w:divId w:val="1481071499"/>
      </w:pPr>
      <w: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w:t>
      </w:r>
      <w:r>
        <w:lastRenderedPageBreak/>
        <w:t>усомниться в его объективности и добросовестности, наносит ущерб репутации системы государственного управления в целом.</w:t>
      </w:r>
    </w:p>
    <w:p w:rsidR="00363266" w:rsidRDefault="00193EF7">
      <w:pPr>
        <w:pStyle w:val="a3"/>
        <w:divId w:val="1481071499"/>
      </w:pPr>
      <w: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363266" w:rsidRDefault="00193EF7">
      <w:pPr>
        <w:pStyle w:val="a3"/>
        <w:divId w:val="1481071499"/>
      </w:pPr>
      <w: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363266" w:rsidRDefault="00193EF7">
      <w:pPr>
        <w:pStyle w:val="a3"/>
        <w:divId w:val="1481071499"/>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363266" w:rsidRDefault="00193EF7">
      <w:pPr>
        <w:pStyle w:val="a3"/>
        <w:divId w:val="1481071499"/>
      </w:pPr>
      <w:r>
        <w:t>Мероприятия, включенные в комплекс мер, рекомендуется осуществлять по следующим направлениям:</w:t>
      </w:r>
    </w:p>
    <w:p w:rsidR="00363266" w:rsidRDefault="00193EF7">
      <w:pPr>
        <w:pStyle w:val="a3"/>
        <w:divId w:val="1481071499"/>
      </w:pPr>
      <w: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363266" w:rsidRDefault="00193EF7">
      <w:pPr>
        <w:pStyle w:val="a3"/>
        <w:divId w:val="1481071499"/>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363266" w:rsidRDefault="00193EF7">
      <w:pPr>
        <w:pStyle w:val="a3"/>
        <w:divId w:val="1481071499"/>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363266" w:rsidRDefault="00193EF7">
      <w:pPr>
        <w:pStyle w:val="a3"/>
        <w:divId w:val="1481071499"/>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363266" w:rsidRDefault="00193EF7">
      <w:pPr>
        <w:pStyle w:val="a3"/>
        <w:divId w:val="1481071499"/>
      </w:pPr>
      <w:r>
        <w:lastRenderedPageBreak/>
        <w:t>Основными задачами осуществления комплекса мер являются:</w:t>
      </w:r>
    </w:p>
    <w:p w:rsidR="00363266" w:rsidRDefault="00193EF7">
      <w:pPr>
        <w:pStyle w:val="a3"/>
        <w:divId w:val="1481071499"/>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363266" w:rsidRDefault="00193EF7">
      <w:pPr>
        <w:pStyle w:val="a3"/>
        <w:divId w:val="1481071499"/>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363266" w:rsidRDefault="00193EF7">
      <w:pPr>
        <w:pStyle w:val="a3"/>
        <w:divId w:val="1481071499"/>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 </w:t>
      </w:r>
    </w:p>
    <w:p w:rsidR="00363266" w:rsidRDefault="00193EF7">
      <w:pPr>
        <w:pStyle w:val="a3"/>
        <w:divId w:val="1481071499"/>
      </w:pPr>
      <w:r>
        <w:rPr>
          <w:b/>
          <w:bCs/>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363266" w:rsidRDefault="00193EF7">
      <w:pPr>
        <w:pStyle w:val="a3"/>
        <w:divId w:val="1481071499"/>
      </w:pPr>
      <w:r>
        <w:rPr>
          <w:u w:val="single"/>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363266" w:rsidRDefault="00193EF7">
      <w:pPr>
        <w:pStyle w:val="a3"/>
        <w:divId w:val="1481071499"/>
      </w:pPr>
      <w:r>
        <w:t>Реализацию данного направления рекомендуется осуществлять посредством:</w:t>
      </w:r>
    </w:p>
    <w:p w:rsidR="00363266" w:rsidRDefault="00193EF7">
      <w:pPr>
        <w:numPr>
          <w:ilvl w:val="0"/>
          <w:numId w:val="1"/>
        </w:numPr>
        <w:spacing w:after="75"/>
        <w:ind w:left="1320"/>
        <w:divId w:val="1481071499"/>
      </w:pPr>
      <w:r>
        <w:t>проведения серии учебно-практических семинаров (тренингов);</w:t>
      </w:r>
    </w:p>
    <w:p w:rsidR="00363266" w:rsidRDefault="00193EF7">
      <w:pPr>
        <w:numPr>
          <w:ilvl w:val="0"/>
          <w:numId w:val="1"/>
        </w:numPr>
        <w:spacing w:after="75"/>
        <w:ind w:left="1320"/>
        <w:divId w:val="1481071499"/>
      </w:pPr>
      <w: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363266" w:rsidRDefault="00193EF7">
      <w:pPr>
        <w:pStyle w:val="a3"/>
        <w:divId w:val="1481071499"/>
      </w:pPr>
      <w:r>
        <w:t>1.1. В рамках серии учебно-практических семинаров является целесообразным рассмотрение следующих вопросов.</w:t>
      </w:r>
    </w:p>
    <w:p w:rsidR="00363266" w:rsidRDefault="00193EF7">
      <w:pPr>
        <w:pStyle w:val="a3"/>
        <w:divId w:val="1481071499"/>
      </w:pPr>
      <w: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363266" w:rsidRDefault="00193EF7">
      <w:pPr>
        <w:pStyle w:val="a3"/>
        <w:divId w:val="1481071499"/>
      </w:pPr>
      <w:r>
        <w:t xml:space="preserve">2) Понятие незаконного вознаграждения. Необходимо обратить внимание служащих и работников на то, что помимо понятия взятка в действующем российском </w:t>
      </w:r>
      <w:r>
        <w:lastRenderedPageBreak/>
        <w:t>законодательстве используется такое понятие как «незаконное вознаграждение от имени юридического лица».</w:t>
      </w:r>
    </w:p>
    <w:p w:rsidR="00363266" w:rsidRDefault="00193EF7">
      <w:pPr>
        <w:pStyle w:val="a3"/>
        <w:divId w:val="1481071499"/>
      </w:pPr>
      <w: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363266" w:rsidRDefault="00193EF7">
      <w:pPr>
        <w:pStyle w:val="a3"/>
        <w:divId w:val="1481071499"/>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63266" w:rsidRDefault="00193EF7">
      <w:pPr>
        <w:pStyle w:val="a3"/>
        <w:divId w:val="1481071499"/>
      </w:pPr>
      <w: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363266" w:rsidRDefault="00193EF7">
      <w:pPr>
        <w:pStyle w:val="a3"/>
        <w:divId w:val="1481071499"/>
      </w:pPr>
      <w: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363266" w:rsidRDefault="00193EF7">
      <w:pPr>
        <w:pStyle w:val="a3"/>
        <w:divId w:val="1481071499"/>
      </w:pPr>
      <w:r>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rsidR="00363266" w:rsidRDefault="00193EF7">
      <w:pPr>
        <w:pStyle w:val="a3"/>
        <w:divId w:val="1481071499"/>
      </w:pPr>
      <w:r>
        <w:t>6) Исторические материалы по вышеуказанным вопросам, изложенным в Своде законов Российской Империи (Том III).</w:t>
      </w:r>
    </w:p>
    <w:p w:rsidR="00363266" w:rsidRDefault="00193EF7">
      <w:pPr>
        <w:pStyle w:val="a3"/>
        <w:divId w:val="1481071499"/>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363266" w:rsidRDefault="00193EF7">
      <w:pPr>
        <w:pStyle w:val="a3"/>
        <w:divId w:val="1481071499"/>
      </w:pPr>
      <w:r>
        <w:t>Так в частности предлагается подготовить памятки для служащих и работников по следующим вопросам:</w:t>
      </w:r>
    </w:p>
    <w:p w:rsidR="00363266" w:rsidRDefault="00193EF7">
      <w:pPr>
        <w:pStyle w:val="a3"/>
        <w:divId w:val="1481071499"/>
      </w:pPr>
      <w:r>
        <w:t xml:space="preserve">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w:t>
      </w:r>
      <w:r>
        <w:lastRenderedPageBreak/>
        <w:t>административной ответственности за незаконное вознаграждение от имени юридического лица;</w:t>
      </w:r>
    </w:p>
    <w:p w:rsidR="00363266" w:rsidRDefault="00193EF7">
      <w:pPr>
        <w:pStyle w:val="a3"/>
        <w:divId w:val="1481071499"/>
      </w:pPr>
      <w: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p>
    <w:p w:rsidR="00363266" w:rsidRDefault="00193EF7">
      <w:pPr>
        <w:pStyle w:val="a3"/>
        <w:divId w:val="1481071499"/>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363266" w:rsidRDefault="00193EF7">
      <w:pPr>
        <w:pStyle w:val="a3"/>
        <w:divId w:val="1481071499"/>
      </w:pPr>
      <w:r>
        <w:rPr>
          <w:u w:val="single"/>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363266" w:rsidRDefault="00193EF7">
      <w:pPr>
        <w:pStyle w:val="a3"/>
        <w:divId w:val="1481071499"/>
      </w:pPr>
      <w: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363266" w:rsidRDefault="00193EF7">
      <w:pPr>
        <w:pStyle w:val="a3"/>
        <w:divId w:val="1481071499"/>
      </w:pPr>
      <w: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363266" w:rsidRDefault="00193EF7">
      <w:pPr>
        <w:pStyle w:val="a3"/>
        <w:divId w:val="1481071499"/>
      </w:pPr>
      <w:r>
        <w:t>В части организации семинаров (бесед, лекций, практических занятий) необходимо рассмотреть следующие вопросы.</w:t>
      </w:r>
    </w:p>
    <w:p w:rsidR="00363266" w:rsidRDefault="00193EF7">
      <w:pPr>
        <w:pStyle w:val="a3"/>
        <w:divId w:val="1481071499"/>
      </w:pPr>
      <w:r>
        <w:t>1) Порядок уведомления служащего и работника о фактах склонения к совершению коррупционного правонарушения.</w:t>
      </w:r>
    </w:p>
    <w:p w:rsidR="00363266" w:rsidRDefault="00193EF7">
      <w:pPr>
        <w:pStyle w:val="a3"/>
        <w:divId w:val="1481071499"/>
      </w:pPr>
      <w:r>
        <w:t>В ходе семинара, требуется:</w:t>
      </w:r>
    </w:p>
    <w:p w:rsidR="00363266" w:rsidRDefault="00193EF7">
      <w:pPr>
        <w:pStyle w:val="a3"/>
        <w:divId w:val="1481071499"/>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363266" w:rsidRDefault="00193EF7">
      <w:pPr>
        <w:pStyle w:val="a3"/>
        <w:divId w:val="1481071499"/>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363266" w:rsidRDefault="00193EF7">
      <w:pPr>
        <w:pStyle w:val="a3"/>
        <w:divId w:val="1481071499"/>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363266" w:rsidRDefault="00193EF7">
      <w:pPr>
        <w:pStyle w:val="a3"/>
        <w:divId w:val="1481071499"/>
      </w:pPr>
      <w:r>
        <w:lastRenderedPageBreak/>
        <w:t>2) Порядок урегулирования конфликта интересов.</w:t>
      </w:r>
    </w:p>
    <w:p w:rsidR="00363266" w:rsidRDefault="00193EF7">
      <w:pPr>
        <w:pStyle w:val="a3"/>
        <w:divId w:val="1481071499"/>
      </w:pPr>
      <w:r>
        <w:t>В ходе семинара, необходимо:</w:t>
      </w:r>
    </w:p>
    <w:p w:rsidR="00363266" w:rsidRDefault="00193EF7">
      <w:pPr>
        <w:pStyle w:val="a3"/>
        <w:divId w:val="1481071499"/>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363266" w:rsidRDefault="00193EF7">
      <w:pPr>
        <w:numPr>
          <w:ilvl w:val="0"/>
          <w:numId w:val="2"/>
        </w:numPr>
        <w:spacing w:after="75"/>
        <w:ind w:left="1320"/>
        <w:divId w:val="1481071499"/>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363266" w:rsidRDefault="00193EF7">
      <w:pPr>
        <w:numPr>
          <w:ilvl w:val="0"/>
          <w:numId w:val="2"/>
        </w:numPr>
        <w:spacing w:after="75"/>
        <w:ind w:left="1320"/>
        <w:divId w:val="1481071499"/>
      </w:pPr>
      <w: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363266" w:rsidRDefault="00193EF7">
      <w:pPr>
        <w:numPr>
          <w:ilvl w:val="0"/>
          <w:numId w:val="2"/>
        </w:numPr>
        <w:spacing w:after="75"/>
        <w:ind w:left="1320"/>
        <w:divId w:val="1481071499"/>
      </w:pPr>
      <w: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363266" w:rsidRDefault="00193EF7">
      <w:pPr>
        <w:pStyle w:val="a3"/>
        <w:divId w:val="1481071499"/>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363266" w:rsidRDefault="00193EF7">
      <w:pPr>
        <w:pStyle w:val="a3"/>
        <w:divId w:val="1481071499"/>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363266" w:rsidRDefault="00193EF7">
      <w:pPr>
        <w:pStyle w:val="a3"/>
        <w:divId w:val="1481071499"/>
      </w:pPr>
      <w:r>
        <w:t>3) Действия и высказывания, которые могут быть восприняты окружающими как согласие принять взятку или как просьба о даче взятки.</w:t>
      </w:r>
    </w:p>
    <w:p w:rsidR="00363266" w:rsidRDefault="00193EF7">
      <w:pPr>
        <w:pStyle w:val="a3"/>
        <w:divId w:val="1481071499"/>
      </w:pPr>
      <w:r>
        <w:t>В ходе семинара, является целесообразным, в частности:</w:t>
      </w:r>
    </w:p>
    <w:p w:rsidR="00363266" w:rsidRDefault="00193EF7">
      <w:pPr>
        <w:pStyle w:val="a3"/>
        <w:divId w:val="1481071499"/>
      </w:pPr>
      <w: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363266" w:rsidRDefault="00193EF7">
      <w:pPr>
        <w:pStyle w:val="a3"/>
        <w:divId w:val="1481071499"/>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363266" w:rsidRDefault="00193EF7">
      <w:pPr>
        <w:pStyle w:val="a3"/>
        <w:divId w:val="1481071499"/>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363266" w:rsidRDefault="00193EF7">
      <w:pPr>
        <w:pStyle w:val="a3"/>
        <w:divId w:val="1481071499"/>
      </w:pPr>
      <w:r>
        <w:t>К числу таких тем относятся, например:</w:t>
      </w:r>
    </w:p>
    <w:p w:rsidR="00363266" w:rsidRDefault="00193EF7">
      <w:pPr>
        <w:numPr>
          <w:ilvl w:val="0"/>
          <w:numId w:val="3"/>
        </w:numPr>
        <w:spacing w:after="75"/>
        <w:ind w:left="1320"/>
        <w:divId w:val="1481071499"/>
      </w:pPr>
      <w:r>
        <w:t>низкий уровень заработной платы служащего, работника и нехватка денежных средств на реализацию тех или иных нужд;</w:t>
      </w:r>
    </w:p>
    <w:p w:rsidR="00363266" w:rsidRDefault="00193EF7">
      <w:pPr>
        <w:numPr>
          <w:ilvl w:val="0"/>
          <w:numId w:val="3"/>
        </w:numPr>
        <w:spacing w:after="75"/>
        <w:ind w:left="1320"/>
        <w:divId w:val="1481071499"/>
      </w:pPr>
      <w:r>
        <w:t>желание приобрести то или иное имущество, получить ту или иную услугу, отправиться в туристическую поездку;</w:t>
      </w:r>
    </w:p>
    <w:p w:rsidR="00363266" w:rsidRDefault="00193EF7">
      <w:pPr>
        <w:numPr>
          <w:ilvl w:val="0"/>
          <w:numId w:val="3"/>
        </w:numPr>
        <w:spacing w:after="75"/>
        <w:ind w:left="1320"/>
        <w:divId w:val="1481071499"/>
      </w:pPr>
      <w:r>
        <w:lastRenderedPageBreak/>
        <w:t>отсутствие работы у родственников служащего, работника;</w:t>
      </w:r>
    </w:p>
    <w:p w:rsidR="00363266" w:rsidRDefault="00193EF7">
      <w:pPr>
        <w:numPr>
          <w:ilvl w:val="0"/>
          <w:numId w:val="3"/>
        </w:numPr>
        <w:spacing w:after="75"/>
        <w:ind w:left="1320"/>
        <w:divId w:val="1481071499"/>
      </w:pPr>
      <w:r>
        <w:t>необходимость поступления детей служащего, работника в образовательные учреждения и т.д.</w:t>
      </w:r>
    </w:p>
    <w:p w:rsidR="00363266" w:rsidRDefault="00193EF7">
      <w:pPr>
        <w:pStyle w:val="a3"/>
        <w:divId w:val="1481071499"/>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363266" w:rsidRDefault="00193EF7">
      <w:pPr>
        <w:pStyle w:val="a3"/>
        <w:divId w:val="1481071499"/>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363266" w:rsidRDefault="00193EF7">
      <w:pPr>
        <w:pStyle w:val="a3"/>
        <w:divId w:val="1481071499"/>
      </w:pPr>
      <w:r>
        <w:t>К числу таких предложений относятся, например предложения:</w:t>
      </w:r>
    </w:p>
    <w:p w:rsidR="00363266" w:rsidRDefault="00193EF7">
      <w:pPr>
        <w:numPr>
          <w:ilvl w:val="0"/>
          <w:numId w:val="4"/>
        </w:numPr>
        <w:spacing w:after="75"/>
        <w:ind w:left="1320"/>
        <w:divId w:val="1481071499"/>
      </w:pPr>
      <w:r>
        <w:t>предоставить служащему, работнику и/или его родственникам скидку;</w:t>
      </w:r>
    </w:p>
    <w:p w:rsidR="00363266" w:rsidRDefault="00193EF7">
      <w:pPr>
        <w:numPr>
          <w:ilvl w:val="0"/>
          <w:numId w:val="4"/>
        </w:numPr>
        <w:spacing w:after="75"/>
        <w:ind w:left="1320"/>
        <w:divId w:val="1481071499"/>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363266" w:rsidRDefault="00193EF7">
      <w:pPr>
        <w:numPr>
          <w:ilvl w:val="0"/>
          <w:numId w:val="4"/>
        </w:numPr>
        <w:spacing w:after="75"/>
        <w:ind w:left="1320"/>
        <w:divId w:val="1481071499"/>
      </w:pPr>
      <w:r>
        <w:t>внести деньги в конкретный благотворительный фонд;</w:t>
      </w:r>
    </w:p>
    <w:p w:rsidR="00363266" w:rsidRDefault="00193EF7">
      <w:pPr>
        <w:numPr>
          <w:ilvl w:val="0"/>
          <w:numId w:val="4"/>
        </w:numPr>
        <w:spacing w:after="75"/>
        <w:ind w:left="1320"/>
        <w:divId w:val="1481071499"/>
      </w:pPr>
      <w:r>
        <w:t>поддержать конкретную спортивную команду и т.д.</w:t>
      </w:r>
    </w:p>
    <w:p w:rsidR="00363266" w:rsidRDefault="00193EF7">
      <w:pPr>
        <w:pStyle w:val="a3"/>
        <w:divId w:val="1481071499"/>
      </w:pPr>
      <w: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363266" w:rsidRDefault="00193EF7">
      <w:pPr>
        <w:pStyle w:val="a3"/>
        <w:divId w:val="1481071499"/>
      </w:pPr>
      <w:r>
        <w:t>К числу таких действий относятся, например:</w:t>
      </w:r>
    </w:p>
    <w:p w:rsidR="00363266" w:rsidRDefault="00193EF7">
      <w:pPr>
        <w:numPr>
          <w:ilvl w:val="0"/>
          <w:numId w:val="5"/>
        </w:numPr>
        <w:spacing w:after="75"/>
        <w:ind w:left="1320"/>
        <w:divId w:val="1481071499"/>
      </w:pPr>
      <w:r>
        <w:t>регулярное получение подарков, даже (если речь идет не о государственном гражданском служащем) стоимостью менее 3000 рублей;</w:t>
      </w:r>
    </w:p>
    <w:p w:rsidR="00363266" w:rsidRDefault="00193EF7">
      <w:pPr>
        <w:numPr>
          <w:ilvl w:val="0"/>
          <w:numId w:val="5"/>
        </w:numPr>
        <w:spacing w:after="75"/>
        <w:ind w:left="1320"/>
        <w:divId w:val="1481071499"/>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363266" w:rsidRDefault="00193EF7">
      <w:pPr>
        <w:pStyle w:val="a3"/>
        <w:divId w:val="1481071499"/>
      </w:pPr>
      <w: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363266" w:rsidRDefault="00193EF7">
      <w:pPr>
        <w:pStyle w:val="a3"/>
        <w:divId w:val="1481071499"/>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363266" w:rsidRDefault="00193EF7">
      <w:pPr>
        <w:pStyle w:val="a3"/>
        <w:divId w:val="1481071499"/>
      </w:pPr>
      <w:r>
        <w:t>2) о типовых случаях конфликтов интересов и порядок их урегулирования;</w:t>
      </w:r>
    </w:p>
    <w:p w:rsidR="00363266" w:rsidRDefault="00193EF7">
      <w:pPr>
        <w:pStyle w:val="a3"/>
        <w:divId w:val="1481071499"/>
      </w:pPr>
      <w: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363266" w:rsidRDefault="00193EF7">
      <w:pPr>
        <w:pStyle w:val="a3"/>
        <w:divId w:val="1481071499"/>
      </w:pPr>
      <w:r>
        <w:rPr>
          <w:u w:val="single"/>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363266" w:rsidRDefault="00193EF7">
      <w:pPr>
        <w:pStyle w:val="a3"/>
        <w:divId w:val="1481071499"/>
      </w:pPr>
      <w:r>
        <w:lastRenderedPageBreak/>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363266" w:rsidRDefault="00193EF7">
      <w:pPr>
        <w:pStyle w:val="a3"/>
        <w:divId w:val="1481071499"/>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363266" w:rsidRDefault="00193EF7">
      <w:pPr>
        <w:pStyle w:val="a3"/>
        <w:divId w:val="1481071499"/>
      </w:pPr>
      <w: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363266" w:rsidRDefault="00193EF7">
      <w:pPr>
        <w:pStyle w:val="a3"/>
        <w:divId w:val="1481071499"/>
      </w:pPr>
      <w: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363266" w:rsidRDefault="00193EF7">
      <w:pPr>
        <w:pStyle w:val="a3"/>
        <w:divId w:val="1481071499"/>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363266" w:rsidRDefault="00193EF7">
      <w:pPr>
        <w:pStyle w:val="a3"/>
        <w:divId w:val="1481071499"/>
      </w:pPr>
      <w:r>
        <w:t>В связи с этим необходимо, в частности:</w:t>
      </w:r>
    </w:p>
    <w:p w:rsidR="00363266" w:rsidRDefault="00193EF7">
      <w:pPr>
        <w:numPr>
          <w:ilvl w:val="0"/>
          <w:numId w:val="6"/>
        </w:numPr>
        <w:spacing w:after="75"/>
        <w:ind w:left="1320"/>
        <w:divId w:val="1481071499"/>
      </w:pPr>
      <w:r>
        <w:t>закрепить требования о конфиденциальности информации о личности заявителя;</w:t>
      </w:r>
    </w:p>
    <w:p w:rsidR="00363266" w:rsidRDefault="00193EF7">
      <w:pPr>
        <w:numPr>
          <w:ilvl w:val="0"/>
          <w:numId w:val="6"/>
        </w:numPr>
        <w:spacing w:after="75"/>
        <w:ind w:left="1320"/>
        <w:divId w:val="1481071499"/>
      </w:pPr>
      <w:r>
        <w:t>установить режим доступа к журналу входящей корреспонденции, содержащему данные, позволяющие идентифицировать личность заявителя;</w:t>
      </w:r>
    </w:p>
    <w:p w:rsidR="00363266" w:rsidRDefault="00193EF7">
      <w:pPr>
        <w:numPr>
          <w:ilvl w:val="0"/>
          <w:numId w:val="6"/>
        </w:numPr>
        <w:spacing w:after="75"/>
        <w:ind w:left="1320"/>
        <w:divId w:val="1481071499"/>
      </w:pPr>
      <w: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363266" w:rsidRDefault="00193EF7">
      <w:pPr>
        <w:pStyle w:val="a3"/>
        <w:divId w:val="1481071499"/>
      </w:pPr>
      <w:r>
        <w:rPr>
          <w:u w:val="single"/>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363266" w:rsidRDefault="00193EF7">
      <w:pPr>
        <w:pStyle w:val="a3"/>
        <w:divId w:val="1481071499"/>
      </w:pPr>
      <w:r>
        <w:t>В число мер по реализации данного направления необходимо включить следующие.</w:t>
      </w:r>
    </w:p>
    <w:p w:rsidR="00363266" w:rsidRDefault="00193EF7">
      <w:pPr>
        <w:pStyle w:val="a3"/>
        <w:divId w:val="1481071499"/>
      </w:pPr>
      <w:r>
        <w:lastRenderedPageBreak/>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363266" w:rsidRDefault="00193EF7">
      <w:pPr>
        <w:numPr>
          <w:ilvl w:val="0"/>
          <w:numId w:val="7"/>
        </w:numPr>
        <w:spacing w:after="75"/>
        <w:ind w:left="1320"/>
        <w:divId w:val="1481071499"/>
      </w:pPr>
      <w:r>
        <w:t>дача взятки должностному лицу наказывается лишением свободы.</w:t>
      </w:r>
    </w:p>
    <w:p w:rsidR="00363266" w:rsidRDefault="00193EF7">
      <w:pPr>
        <w:numPr>
          <w:ilvl w:val="0"/>
          <w:numId w:val="7"/>
        </w:numPr>
        <w:spacing w:after="75"/>
        <w:ind w:left="1320"/>
        <w:divId w:val="1481071499"/>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363266" w:rsidRDefault="00193EF7">
      <w:pPr>
        <w:numPr>
          <w:ilvl w:val="0"/>
          <w:numId w:val="7"/>
        </w:numPr>
        <w:spacing w:after="75"/>
        <w:ind w:left="1320"/>
        <w:divId w:val="1481071499"/>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363266" w:rsidRDefault="00193EF7">
      <w:pPr>
        <w:pStyle w:val="a3"/>
        <w:divId w:val="1481071499"/>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363266" w:rsidRDefault="00193EF7">
      <w:pPr>
        <w:pStyle w:val="a3"/>
        <w:divId w:val="1481071499"/>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363266" w:rsidRDefault="00193EF7">
      <w:pPr>
        <w:pStyle w:val="a3"/>
        <w:divId w:val="1481071499"/>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sectPr w:rsidR="00363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5E37"/>
    <w:multiLevelType w:val="multilevel"/>
    <w:tmpl w:val="518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B05B4"/>
    <w:multiLevelType w:val="multilevel"/>
    <w:tmpl w:val="19FE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243AD"/>
    <w:multiLevelType w:val="multilevel"/>
    <w:tmpl w:val="F9CE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C3B20"/>
    <w:multiLevelType w:val="multilevel"/>
    <w:tmpl w:val="E764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97D35"/>
    <w:multiLevelType w:val="multilevel"/>
    <w:tmpl w:val="39D0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65D06"/>
    <w:multiLevelType w:val="multilevel"/>
    <w:tmpl w:val="0A9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450"/>
    <w:multiLevelType w:val="multilevel"/>
    <w:tmpl w:val="4140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F7"/>
    <w:rsid w:val="000343FC"/>
    <w:rsid w:val="00193EF7"/>
    <w:rsid w:val="00363266"/>
    <w:rsid w:val="006D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F6974-190F-4165-B444-C3BD9456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rFonts w:eastAsiaTheme="minorEastAsia"/>
      <w:bCs/>
      <w:kern w:val="36"/>
      <w:sz w:val="40"/>
      <w:szCs w:val="48"/>
    </w:rPr>
  </w:style>
  <w:style w:type="paragraph" w:styleId="2">
    <w:name w:val="heading 2"/>
    <w:basedOn w:val="a"/>
    <w:link w:val="20"/>
    <w:qFormat/>
    <w:pPr>
      <w:spacing w:before="100" w:beforeAutospacing="1" w:after="100" w:afterAutospacing="1"/>
      <w:outlineLvl w:val="1"/>
    </w:pPr>
    <w:rPr>
      <w:rFonts w:eastAsiaTheme="minorEastAsia"/>
      <w:bCs/>
      <w:sz w:val="22"/>
      <w:szCs w:val="36"/>
    </w:rPr>
  </w:style>
  <w:style w:type="paragraph" w:styleId="3">
    <w:name w:val="heading 3"/>
    <w:basedOn w:val="a"/>
    <w:link w:val="30"/>
    <w:qFormat/>
    <w:pPr>
      <w:spacing w:before="360" w:after="240"/>
      <w:outlineLvl w:val="2"/>
    </w:pPr>
    <w:rPr>
      <w:rFonts w:eastAsiaTheme="minorEastAsia"/>
      <w:sz w:val="28"/>
      <w:szCs w:val="28"/>
    </w:rPr>
  </w:style>
  <w:style w:type="paragraph" w:styleId="4">
    <w:name w:val="heading 4"/>
    <w:basedOn w:val="a"/>
    <w:link w:val="40"/>
    <w:qFormat/>
    <w:pPr>
      <w:spacing w:before="360" w:after="240"/>
      <w:outlineLvl w:val="3"/>
    </w:pPr>
    <w:rPr>
      <w:rFonts w:eastAsiaTheme="minorEastAsia"/>
      <w:b/>
      <w:bCs/>
    </w:rPr>
  </w:style>
  <w:style w:type="paragraph" w:styleId="5">
    <w:name w:val="heading 5"/>
    <w:basedOn w:val="a"/>
    <w:link w:val="50"/>
    <w:qFormat/>
    <w:pPr>
      <w:spacing w:before="100" w:beforeAutospacing="1" w:after="100" w:afterAutospacing="1"/>
      <w:ind w:left="5664"/>
      <w:outlineLvl w:val="4"/>
    </w:pPr>
    <w:rPr>
      <w:rFonts w:eastAsiaTheme="minorEastAsia"/>
      <w:bCs/>
      <w:szCs w:val="20"/>
    </w:rPr>
  </w:style>
  <w:style w:type="paragraph" w:styleId="6">
    <w:name w:val="heading 6"/>
    <w:basedOn w:val="a"/>
    <w:link w:val="60"/>
    <w:autoRedefine/>
    <w:qFormat/>
    <w:pPr>
      <w:spacing w:before="100" w:beforeAutospacing="1" w:after="100" w:afterAutospacing="1"/>
      <w:outlineLvl w:val="5"/>
    </w:pPr>
    <w:rPr>
      <w:rFonts w:ascii="Arial" w:eastAsiaTheme="minorEastAsia" w:hAnsi="Arial"/>
      <w:bCs/>
      <w:color w:val="777777"/>
      <w:sz w:val="20"/>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semiHidden/>
    <w:locked/>
    <w:rPr>
      <w:bCs/>
      <w:sz w:val="24"/>
      <w:lang w:val="ru-RU" w:eastAsia="ru-RU" w:bidi="ar-SA"/>
    </w:rPr>
  </w:style>
  <w:style w:type="character" w:customStyle="1" w:styleId="60">
    <w:name w:val="Заголовок 6 Знак"/>
    <w:basedOn w:val="a0"/>
    <w:link w:val="6"/>
    <w:semiHidden/>
    <w:rPr>
      <w:rFonts w:asciiTheme="majorHAnsi" w:eastAsiaTheme="majorEastAsia" w:hAnsiTheme="majorHAnsi" w:cstheme="majorBidi"/>
      <w:color w:val="1F4D78" w:themeColor="accent1" w:themeShade="7F"/>
      <w:sz w:val="24"/>
      <w:szCs w:val="24"/>
    </w:rPr>
  </w:style>
  <w:style w:type="paragraph" w:styleId="a3">
    <w:name w:val="Normal (Web)"/>
    <w:basedOn w:val="a"/>
    <w:semiHidden/>
    <w:unhideWhenUsed/>
    <w:pPr>
      <w:spacing w:before="100" w:beforeAutospacing="1" w:after="100" w:afterAutospacing="1"/>
    </w:pPr>
  </w:style>
  <w:style w:type="paragraph" w:customStyle="1" w:styleId="shorttitle">
    <w:name w:val="shorttitle"/>
    <w:basedOn w:val="a"/>
    <w:pPr>
      <w:spacing w:after="30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071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3937</Words>
  <Characters>22446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Информация Минтруда России от 4 марта 2013 г.</vt:lpstr>
    </vt:vector>
  </TitlesOfParts>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Минтруда России от 4 марта 2013 г.</dc:title>
  <dc:subject/>
  <dc:creator>Минздравсоцразвития</dc:creator>
  <cp:keywords/>
  <dc:description/>
  <cp:lastModifiedBy>Воронцова Ирина Викторовна (INFOA - it2)</cp:lastModifiedBy>
  <cp:revision>2</cp:revision>
  <dcterms:created xsi:type="dcterms:W3CDTF">2021-07-07T05:22:00Z</dcterms:created>
  <dcterms:modified xsi:type="dcterms:W3CDTF">2021-07-07T05:22:00Z</dcterms:modified>
</cp:coreProperties>
</file>